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D523" w14:textId="77777777" w:rsidR="006A4B52" w:rsidRPr="003E6938" w:rsidRDefault="006A4B52" w:rsidP="006A4B52">
      <w:pPr>
        <w:rPr>
          <w:rFonts w:ascii="Lato" w:hAnsi="Lato"/>
          <w:sz w:val="28"/>
          <w:szCs w:val="28"/>
        </w:rPr>
      </w:pPr>
      <w:r w:rsidRPr="003E6938">
        <w:rPr>
          <w:rFonts w:ascii="Lato" w:hAnsi="Lato" w:cs="Times New Roman (Body CS)"/>
          <w:sz w:val="20"/>
          <w:szCs w:val="20"/>
        </w:rPr>
        <w:t>Press release XX/XX/2022 08:30 CET</w:t>
      </w:r>
    </w:p>
    <w:p w14:paraId="1687D6BD" w14:textId="38F39E6B" w:rsidR="00CB5DB4" w:rsidRDefault="00CB5DB4"/>
    <w:p w14:paraId="75114EA0" w14:textId="34025593" w:rsidR="006A4B52" w:rsidRDefault="006A4B52"/>
    <w:p w14:paraId="465356D2" w14:textId="2F10421D" w:rsidR="006A4B52" w:rsidRDefault="00A85FC8" w:rsidP="006A4B52">
      <w:pPr>
        <w:spacing w:after="200" w:line="276" w:lineRule="auto"/>
        <w:rPr>
          <w:rFonts w:ascii="Lato Heavy" w:hAnsi="Lato Heavy" w:cs="Times"/>
          <w:sz w:val="28"/>
          <w:szCs w:val="28"/>
        </w:rPr>
      </w:pPr>
      <w:r>
        <w:rPr>
          <w:rFonts w:ascii="Lato Heavy" w:hAnsi="Lato Heavy" w:cs="Times"/>
          <w:sz w:val="28"/>
          <w:szCs w:val="28"/>
        </w:rPr>
        <w:t>NETENT AND RED TIGER ANNOUNCE NEW DEAL WITH SUPABETS</w:t>
      </w:r>
    </w:p>
    <w:p w14:paraId="5899AF35" w14:textId="3F9A402B" w:rsidR="006A4B52" w:rsidRDefault="006A4B52"/>
    <w:p w14:paraId="1B9C8C10" w14:textId="0DFACF26" w:rsidR="006A4B52" w:rsidRPr="00874361" w:rsidRDefault="00B91FBF">
      <w:pPr>
        <w:rPr>
          <w:rFonts w:ascii="Lato" w:hAnsi="Lato"/>
        </w:rPr>
      </w:pPr>
      <w:r w:rsidRPr="00874361">
        <w:rPr>
          <w:rFonts w:ascii="Lato" w:hAnsi="Lato"/>
        </w:rPr>
        <w:t>NetEnt and Red Tiger</w:t>
      </w:r>
      <w:r w:rsidR="002265D5" w:rsidRPr="00874361">
        <w:rPr>
          <w:rFonts w:ascii="Lato" w:hAnsi="Lato"/>
        </w:rPr>
        <w:t xml:space="preserve"> today announced </w:t>
      </w:r>
      <w:r w:rsidRPr="00874361">
        <w:rPr>
          <w:rFonts w:ascii="Lato" w:hAnsi="Lato"/>
        </w:rPr>
        <w:t xml:space="preserve">that they have partnered with South African operator, Supabets. </w:t>
      </w:r>
      <w:r w:rsidR="00FB7C6C" w:rsidRPr="00874361">
        <w:rPr>
          <w:rFonts w:ascii="Lato" w:hAnsi="Lato"/>
        </w:rPr>
        <w:t xml:space="preserve"> </w:t>
      </w:r>
    </w:p>
    <w:p w14:paraId="69E99F52" w14:textId="429207AC" w:rsidR="00874361" w:rsidRPr="00874361" w:rsidRDefault="00874361">
      <w:pPr>
        <w:rPr>
          <w:rFonts w:ascii="Lato" w:hAnsi="Lato"/>
        </w:rPr>
      </w:pPr>
    </w:p>
    <w:p w14:paraId="773D2720" w14:textId="4EB4092D" w:rsidR="00874361" w:rsidRPr="00874361" w:rsidRDefault="00874361" w:rsidP="00874361">
      <w:pPr>
        <w:pStyle w:val="NoSpacing"/>
        <w:spacing w:line="276" w:lineRule="auto"/>
        <w:rPr>
          <w:rFonts w:ascii="Lato" w:hAnsi="Lato"/>
          <w:lang w:val="en-US"/>
        </w:rPr>
      </w:pPr>
      <w:r w:rsidRPr="00874361">
        <w:rPr>
          <w:rFonts w:ascii="Lato" w:hAnsi="Lato"/>
          <w:lang w:val="en-US"/>
        </w:rPr>
        <w:t>Launched back in 2008, Supabets is a successful African based land and online betting and gaming company. It operates across South Africa, Ghana, Tanzania, and Zimbabwe.</w:t>
      </w:r>
    </w:p>
    <w:p w14:paraId="63F179A5" w14:textId="41D4A687" w:rsidR="006A4B52" w:rsidRPr="00874361" w:rsidRDefault="006A4B52"/>
    <w:p w14:paraId="0B02D990" w14:textId="714570E1" w:rsidR="003E6938" w:rsidRPr="00874361" w:rsidRDefault="00B91FBF" w:rsidP="003E6938">
      <w:pPr>
        <w:pStyle w:val="NoSpacing"/>
        <w:spacing w:line="276" w:lineRule="auto"/>
        <w:rPr>
          <w:rFonts w:ascii="Lato" w:hAnsi="Lato"/>
        </w:rPr>
      </w:pPr>
      <w:r w:rsidRPr="00874361">
        <w:rPr>
          <w:rFonts w:ascii="Lato" w:hAnsi="Lato"/>
          <w:lang w:val="en-US"/>
        </w:rPr>
        <w:t xml:space="preserve">This new deal will see Supabets become the first operator in the </w:t>
      </w:r>
      <w:r w:rsidR="00874361" w:rsidRPr="00874361">
        <w:rPr>
          <w:rFonts w:ascii="Lato" w:hAnsi="Lato"/>
          <w:lang w:val="en-US"/>
        </w:rPr>
        <w:t xml:space="preserve">South African </w:t>
      </w:r>
      <w:r w:rsidRPr="00874361">
        <w:rPr>
          <w:rFonts w:ascii="Lato" w:hAnsi="Lato"/>
          <w:lang w:val="en-US"/>
        </w:rPr>
        <w:t xml:space="preserve">market with a slots </w:t>
      </w:r>
      <w:r w:rsidR="00874361" w:rsidRPr="00874361">
        <w:rPr>
          <w:rFonts w:ascii="Lato" w:hAnsi="Lato"/>
          <w:lang w:val="en-US"/>
        </w:rPr>
        <w:t>selection</w:t>
      </w:r>
      <w:r w:rsidRPr="00874361">
        <w:rPr>
          <w:rFonts w:ascii="Lato" w:hAnsi="Lato"/>
          <w:lang w:val="en-US"/>
        </w:rPr>
        <w:t xml:space="preserve">. </w:t>
      </w:r>
      <w:r w:rsidR="00874361" w:rsidRPr="00874361">
        <w:rPr>
          <w:rFonts w:ascii="Lato" w:hAnsi="Lato"/>
          <w:lang w:val="en-US"/>
        </w:rPr>
        <w:t>Having worked closely with the market regulator, the Mpumalanga Economic Regulator (MER), NetEnt and Red Tiger will now be supplying Supabets with an initial 175</w:t>
      </w:r>
      <w:r w:rsidR="0067193D">
        <w:rPr>
          <w:rFonts w:ascii="Lato" w:hAnsi="Lato"/>
          <w:lang w:val="en-US"/>
        </w:rPr>
        <w:t xml:space="preserve"> games</w:t>
      </w:r>
      <w:r w:rsidR="00874361" w:rsidRPr="00874361">
        <w:rPr>
          <w:rFonts w:ascii="Lato" w:hAnsi="Lato"/>
          <w:lang w:val="en-US"/>
        </w:rPr>
        <w:t xml:space="preserve"> of its world class slot</w:t>
      </w:r>
      <w:r w:rsidR="0067193D">
        <w:rPr>
          <w:rFonts w:ascii="Lato" w:hAnsi="Lato"/>
          <w:lang w:val="en-US"/>
        </w:rPr>
        <w:t xml:space="preserve"> </w:t>
      </w:r>
      <w:r w:rsidR="00874361" w:rsidRPr="00874361">
        <w:rPr>
          <w:rFonts w:ascii="Lato" w:hAnsi="Lato"/>
          <w:lang w:val="en-US"/>
        </w:rPr>
        <w:t>portfolio.</w:t>
      </w:r>
      <w:r w:rsidR="003E6938" w:rsidRPr="00874361">
        <w:rPr>
          <w:rFonts w:ascii="Lato" w:hAnsi="Lato"/>
        </w:rPr>
        <w:br/>
      </w:r>
    </w:p>
    <w:p w14:paraId="36BC3EF9" w14:textId="48997CF8" w:rsidR="003E6938" w:rsidRPr="00874361" w:rsidRDefault="00874361" w:rsidP="003E6938">
      <w:pPr>
        <w:pStyle w:val="NoSpacing"/>
        <w:spacing w:line="276" w:lineRule="auto"/>
        <w:rPr>
          <w:rFonts w:ascii="Lato" w:hAnsi="Lato"/>
          <w:lang w:val="en-US"/>
        </w:rPr>
      </w:pPr>
      <w:r w:rsidRPr="00874361">
        <w:rPr>
          <w:rFonts w:ascii="Lato" w:hAnsi="Lato"/>
          <w:lang w:val="en-US"/>
        </w:rPr>
        <w:t>Having already partnered with Evolution for its suit of Live games, the new announcement strengthens the bonds between the two companies, as Supabets now expands into the slots world.</w:t>
      </w:r>
    </w:p>
    <w:p w14:paraId="0C80F6FE" w14:textId="1300E7E0" w:rsidR="00A85FC8" w:rsidRPr="00874361" w:rsidRDefault="00A85FC8" w:rsidP="003E6938">
      <w:pPr>
        <w:pStyle w:val="NoSpacing"/>
        <w:spacing w:line="276" w:lineRule="auto"/>
        <w:rPr>
          <w:rFonts w:ascii="Lato" w:hAnsi="Lato"/>
          <w:i/>
          <w:iCs/>
        </w:rPr>
      </w:pPr>
    </w:p>
    <w:p w14:paraId="24CC3F70" w14:textId="41E8BEF1" w:rsidR="00A85FC8" w:rsidRPr="00874361" w:rsidRDefault="00A85FC8" w:rsidP="003E6938">
      <w:pPr>
        <w:pStyle w:val="NoSpacing"/>
        <w:spacing w:line="276" w:lineRule="auto"/>
        <w:rPr>
          <w:rFonts w:ascii="Lato" w:hAnsi="Lato"/>
          <w:lang w:val="en-US"/>
        </w:rPr>
      </w:pPr>
      <w:r w:rsidRPr="00874361">
        <w:rPr>
          <w:rFonts w:ascii="Lato" w:hAnsi="Lato"/>
          <w:b/>
          <w:bCs/>
          <w:lang w:val="en-US"/>
        </w:rPr>
        <w:t xml:space="preserve">Marc </w:t>
      </w:r>
      <w:proofErr w:type="spellStart"/>
      <w:r w:rsidRPr="00874361">
        <w:rPr>
          <w:rFonts w:ascii="Lato" w:hAnsi="Lato"/>
          <w:b/>
          <w:bCs/>
          <w:lang w:val="en-US"/>
        </w:rPr>
        <w:t>Palxton</w:t>
      </w:r>
      <w:proofErr w:type="spellEnd"/>
      <w:r w:rsidRPr="00874361">
        <w:rPr>
          <w:rFonts w:ascii="Lato" w:hAnsi="Lato"/>
          <w:b/>
          <w:bCs/>
          <w:lang w:val="en-US"/>
        </w:rPr>
        <w:t xml:space="preserve">-Harrison, Managing Director at Intelligent Gaming </w:t>
      </w:r>
      <w:r w:rsidRPr="00874361">
        <w:rPr>
          <w:rFonts w:ascii="Lato" w:hAnsi="Lato"/>
          <w:lang w:val="en-US"/>
        </w:rPr>
        <w:t xml:space="preserve">said: “We are ecstatic to finally have MER approval for the launch of the NetEnt and Red Tiger world class slots offering. We are confident they will do very well with </w:t>
      </w:r>
      <w:proofErr w:type="gramStart"/>
      <w:r w:rsidRPr="00874361">
        <w:rPr>
          <w:rFonts w:ascii="Lato" w:hAnsi="Lato"/>
          <w:lang w:val="en-US"/>
        </w:rPr>
        <w:t>Supabets</w:t>
      </w:r>
      <w:proofErr w:type="gramEnd"/>
      <w:r w:rsidRPr="00874361">
        <w:rPr>
          <w:rFonts w:ascii="Lato" w:hAnsi="Lato"/>
          <w:lang w:val="en-US"/>
        </w:rPr>
        <w:t xml:space="preserve"> and we look forward to adding the portfolio to our remaining SA clients.”</w:t>
      </w:r>
    </w:p>
    <w:p w14:paraId="08561A4D" w14:textId="77777777" w:rsidR="00A85FC8" w:rsidRPr="00874361" w:rsidRDefault="00A85FC8" w:rsidP="003E6938">
      <w:pPr>
        <w:pStyle w:val="NoSpacing"/>
        <w:spacing w:line="276" w:lineRule="auto"/>
        <w:rPr>
          <w:rFonts w:ascii="Lato" w:hAnsi="Lato"/>
          <w:i/>
          <w:iCs/>
        </w:rPr>
      </w:pPr>
    </w:p>
    <w:p w14:paraId="04A54E73" w14:textId="749E58D6" w:rsidR="00B17FC1" w:rsidRPr="00B17FC1" w:rsidRDefault="00A85FC8" w:rsidP="00B17FC1">
      <w:pPr>
        <w:pStyle w:val="NoSpacing"/>
        <w:spacing w:line="276" w:lineRule="auto"/>
        <w:rPr>
          <w:rFonts w:ascii="Lato" w:hAnsi="Lato"/>
          <w:lang w:val="en-US"/>
        </w:rPr>
      </w:pPr>
      <w:r w:rsidRPr="00874361">
        <w:rPr>
          <w:rFonts w:ascii="Lato" w:hAnsi="Lato"/>
          <w:b/>
          <w:bCs/>
          <w:lang w:val="en-US"/>
        </w:rPr>
        <w:t xml:space="preserve">Dean Finder, </w:t>
      </w:r>
      <w:r w:rsidR="00DB44C2" w:rsidRPr="00874361">
        <w:rPr>
          <w:rFonts w:ascii="Lato" w:hAnsi="Lato"/>
          <w:b/>
          <w:bCs/>
        </w:rPr>
        <w:t>Chief Executive Officer at Evolution Services SA</w:t>
      </w:r>
      <w:r w:rsidR="00DB44C2" w:rsidRPr="00874361">
        <w:rPr>
          <w:rFonts w:ascii="Lato" w:hAnsi="Lato"/>
          <w:b/>
          <w:bCs/>
          <w:lang w:val="en-US"/>
        </w:rPr>
        <w:t xml:space="preserve"> </w:t>
      </w:r>
      <w:r w:rsidRPr="00874361">
        <w:rPr>
          <w:rFonts w:ascii="Lato" w:hAnsi="Lato"/>
          <w:lang w:val="en-US"/>
        </w:rPr>
        <w:t>said: “</w:t>
      </w:r>
      <w:r w:rsidR="00AF71B6">
        <w:rPr>
          <w:rFonts w:ascii="Lato" w:hAnsi="Lato"/>
          <w:lang w:val="en-US"/>
        </w:rPr>
        <w:t>We are</w:t>
      </w:r>
      <w:r w:rsidRPr="00874361">
        <w:rPr>
          <w:rFonts w:ascii="Lato" w:hAnsi="Lato"/>
          <w:lang w:val="en-US"/>
        </w:rPr>
        <w:t xml:space="preserve"> delighted that</w:t>
      </w:r>
      <w:r w:rsidR="0009207A">
        <w:rPr>
          <w:rFonts w:ascii="Lato" w:hAnsi="Lato"/>
          <w:lang w:val="en-US"/>
        </w:rPr>
        <w:t xml:space="preserve"> </w:t>
      </w:r>
      <w:r w:rsidR="00B17FC1">
        <w:rPr>
          <w:rFonts w:ascii="Lato" w:hAnsi="Lato"/>
          <w:lang w:val="en-US"/>
        </w:rPr>
        <w:t>we have the opportunity to expand our partnership with Supabets and that they will now have access to our portfolio of NetEnt and Red Tiger slot games. We hope their players will enjoy the diversity of the portfolio, as there truly is something available for everyone to enjoy.”</w:t>
      </w:r>
    </w:p>
    <w:p w14:paraId="5B44E24B" w14:textId="7CAA32E1" w:rsidR="006A4B52" w:rsidRPr="00874361" w:rsidRDefault="006A4B52" w:rsidP="00B17FC1">
      <w:pPr>
        <w:pStyle w:val="NoSpacing"/>
        <w:rPr>
          <w:rFonts w:ascii="Lato" w:hAnsi="Lato" w:cs="Times New Roman (Body CS)"/>
          <w:b/>
        </w:rPr>
      </w:pPr>
    </w:p>
    <w:p w14:paraId="7AFE8845" w14:textId="5AF0D75D" w:rsidR="006A4B52" w:rsidRPr="00874361" w:rsidRDefault="006A4B52" w:rsidP="006A4B52">
      <w:pPr>
        <w:shd w:val="clear" w:color="auto" w:fill="FFFFFF"/>
        <w:spacing w:after="200" w:line="276" w:lineRule="auto"/>
        <w:rPr>
          <w:rFonts w:ascii="Lato" w:hAnsi="Lato" w:cs="Times New Roman (Body CS)"/>
          <w:b/>
        </w:rPr>
      </w:pPr>
      <w:r w:rsidRPr="00874361">
        <w:rPr>
          <w:rFonts w:ascii="Lato" w:hAnsi="Lato" w:cs="Times New Roman (Body CS)"/>
          <w:bCs/>
        </w:rPr>
        <w:t>For trade press and media enquiries, please contact:</w:t>
      </w:r>
      <w:r w:rsidRPr="00874361">
        <w:rPr>
          <w:rFonts w:ascii="Lato" w:hAnsi="Lato" w:cs="Times New Roman (Body CS)"/>
          <w:b/>
        </w:rPr>
        <w:t> </w:t>
      </w:r>
      <w:hyperlink r:id="rId6" w:history="1">
        <w:r w:rsidRPr="00874361">
          <w:rPr>
            <w:rFonts w:ascii="Lato" w:hAnsi="Lato" w:cs="Times New Roman (Body CS)"/>
            <w:b/>
          </w:rPr>
          <w:t>press@evolution.com</w:t>
        </w:r>
      </w:hyperlink>
    </w:p>
    <w:p w14:paraId="4A6C6D3A" w14:textId="77777777" w:rsidR="006A4B52" w:rsidRPr="002B09D1" w:rsidRDefault="006A4B52" w:rsidP="006A4B52">
      <w:pPr>
        <w:pStyle w:val="Footer"/>
        <w:rPr>
          <w:rFonts w:ascii="Lato" w:hAnsi="Lato"/>
          <w:iCs/>
          <w:color w:val="323E4F" w:themeColor="text2" w:themeShade="BF"/>
          <w:sz w:val="16"/>
          <w:szCs w:val="16"/>
        </w:rPr>
      </w:pPr>
      <w:r w:rsidRPr="002B09D1">
        <w:rPr>
          <w:rFonts w:ascii="Lato" w:hAnsi="Lato"/>
          <w:iCs/>
          <w:color w:val="323E4F" w:themeColor="text2" w:themeShade="BF"/>
          <w:sz w:val="16"/>
          <w:szCs w:val="16"/>
        </w:rPr>
        <w:t>Evolution AB (</w:t>
      </w:r>
      <w:proofErr w:type="spellStart"/>
      <w:r w:rsidRPr="002B09D1">
        <w:rPr>
          <w:rFonts w:ascii="Lato" w:hAnsi="Lato"/>
          <w:iCs/>
          <w:color w:val="323E4F" w:themeColor="text2" w:themeShade="BF"/>
          <w:sz w:val="16"/>
          <w:szCs w:val="16"/>
        </w:rPr>
        <w:t>publ</w:t>
      </w:r>
      <w:proofErr w:type="spellEnd"/>
      <w:r w:rsidRPr="002B09D1">
        <w:rPr>
          <w:rFonts w:ascii="Lato" w:hAnsi="Lato"/>
          <w:iCs/>
          <w:color w:val="323E4F" w:themeColor="text2" w:themeShade="BF"/>
          <w:sz w:val="16"/>
          <w:szCs w:val="16"/>
        </w:rPr>
        <w:t xml:space="preserve">) </w:t>
      </w:r>
      <w:proofErr w:type="gramStart"/>
      <w:r w:rsidRPr="002B09D1">
        <w:rPr>
          <w:rFonts w:ascii="Lato" w:hAnsi="Lato"/>
          <w:iCs/>
          <w:color w:val="323E4F" w:themeColor="text2" w:themeShade="BF"/>
          <w:sz w:val="16"/>
          <w:szCs w:val="16"/>
        </w:rPr>
        <w:t>(”Evolution</w:t>
      </w:r>
      <w:proofErr w:type="gramEnd"/>
      <w:r w:rsidRPr="002B09D1">
        <w:rPr>
          <w:rFonts w:ascii="Lato" w:hAnsi="Lato"/>
          <w:iCs/>
          <w:color w:val="323E4F" w:themeColor="text2" w:themeShade="BF"/>
          <w:sz w:val="16"/>
          <w:szCs w:val="16"/>
        </w:rPr>
        <w:t>”) develops, produces, markets and licenses fully-integrated B2B Live Casino solutions to</w:t>
      </w:r>
    </w:p>
    <w:p w14:paraId="3CA71CA4" w14:textId="77777777" w:rsidR="006A4B52" w:rsidRPr="002B09D1" w:rsidRDefault="006A4B52" w:rsidP="006A4B52">
      <w:pPr>
        <w:pStyle w:val="Footer"/>
        <w:rPr>
          <w:rFonts w:ascii="Lato" w:hAnsi="Lato"/>
          <w:iCs/>
          <w:color w:val="323E4F" w:themeColor="text2" w:themeShade="BF"/>
          <w:sz w:val="16"/>
          <w:szCs w:val="16"/>
        </w:rPr>
      </w:pPr>
      <w:r w:rsidRPr="002B09D1">
        <w:rPr>
          <w:rFonts w:ascii="Lato" w:hAnsi="Lato"/>
          <w:iCs/>
          <w:color w:val="323E4F" w:themeColor="text2" w:themeShade="BF"/>
          <w:sz w:val="16"/>
          <w:szCs w:val="16"/>
        </w:rPr>
        <w:t>gaming operators. Since its inception in 2006, Evolution has developed into a leading B2B provider with 500+ operators</w:t>
      </w:r>
    </w:p>
    <w:p w14:paraId="72029FDC" w14:textId="77777777" w:rsidR="006A4B52" w:rsidRPr="002B09D1" w:rsidRDefault="006A4B52" w:rsidP="006A4B52">
      <w:pPr>
        <w:pStyle w:val="Footer"/>
        <w:rPr>
          <w:rFonts w:ascii="Lato" w:hAnsi="Lato"/>
          <w:iCs/>
          <w:color w:val="323E4F" w:themeColor="text2" w:themeShade="BF"/>
          <w:sz w:val="16"/>
          <w:szCs w:val="16"/>
        </w:rPr>
      </w:pPr>
      <w:r w:rsidRPr="002B09D1">
        <w:rPr>
          <w:rFonts w:ascii="Lato" w:hAnsi="Lato"/>
          <w:iCs/>
          <w:color w:val="323E4F" w:themeColor="text2" w:themeShade="BF"/>
          <w:sz w:val="16"/>
          <w:szCs w:val="16"/>
        </w:rPr>
        <w:t xml:space="preserve">among its customers. The group currently </w:t>
      </w:r>
      <w:r w:rsidRPr="00567115">
        <w:rPr>
          <w:rFonts w:ascii="Lato" w:hAnsi="Lato"/>
          <w:iCs/>
          <w:color w:val="323E4F" w:themeColor="text2" w:themeShade="BF"/>
          <w:sz w:val="16"/>
          <w:szCs w:val="16"/>
        </w:rPr>
        <w:t xml:space="preserve">employs 12,000 people </w:t>
      </w:r>
      <w:r w:rsidRPr="002B09D1">
        <w:rPr>
          <w:rFonts w:ascii="Lato" w:hAnsi="Lato"/>
          <w:iCs/>
          <w:color w:val="323E4F" w:themeColor="text2" w:themeShade="BF"/>
          <w:sz w:val="16"/>
          <w:szCs w:val="16"/>
        </w:rPr>
        <w:t>in studios across Europe and in North America. The</w:t>
      </w:r>
    </w:p>
    <w:p w14:paraId="69BBA46B" w14:textId="77777777" w:rsidR="006A4B52" w:rsidRPr="002B09D1" w:rsidRDefault="006A4B52" w:rsidP="006A4B52">
      <w:pPr>
        <w:pStyle w:val="Footer"/>
        <w:rPr>
          <w:rFonts w:ascii="Lato" w:hAnsi="Lato"/>
          <w:iCs/>
          <w:color w:val="323E4F" w:themeColor="text2" w:themeShade="BF"/>
          <w:sz w:val="16"/>
          <w:szCs w:val="16"/>
        </w:rPr>
      </w:pPr>
      <w:r w:rsidRPr="002B09D1">
        <w:rPr>
          <w:rFonts w:ascii="Lato" w:hAnsi="Lato"/>
          <w:iCs/>
          <w:color w:val="323E4F" w:themeColor="text2" w:themeShade="BF"/>
          <w:sz w:val="16"/>
          <w:szCs w:val="16"/>
        </w:rPr>
        <w:t>parent company is based in Sweden and listed on Nasdaq Stockholm with the ticker EVO. Visit www.evolution.com for</w:t>
      </w:r>
    </w:p>
    <w:p w14:paraId="5E9F937B" w14:textId="77777777" w:rsidR="006A4B52" w:rsidRDefault="006A4B52" w:rsidP="006A4B52">
      <w:pPr>
        <w:pStyle w:val="Footer"/>
        <w:rPr>
          <w:rFonts w:ascii="Lato" w:hAnsi="Lato"/>
          <w:iCs/>
          <w:color w:val="323E4F" w:themeColor="text2" w:themeShade="BF"/>
          <w:sz w:val="16"/>
          <w:szCs w:val="16"/>
        </w:rPr>
      </w:pPr>
      <w:r w:rsidRPr="002B09D1">
        <w:rPr>
          <w:rFonts w:ascii="Lato" w:hAnsi="Lato"/>
          <w:iCs/>
          <w:color w:val="323E4F" w:themeColor="text2" w:themeShade="BF"/>
          <w:sz w:val="16"/>
          <w:szCs w:val="16"/>
        </w:rPr>
        <w:t>more information.</w:t>
      </w:r>
    </w:p>
    <w:p w14:paraId="2AE9C421" w14:textId="77777777" w:rsidR="006A4B52" w:rsidRPr="008767F2" w:rsidRDefault="006A4B52" w:rsidP="006A4B52">
      <w:pPr>
        <w:pStyle w:val="Footer"/>
        <w:rPr>
          <w:rFonts w:ascii="Lato" w:hAnsi="Lato"/>
          <w:iCs/>
          <w:color w:val="323E4F" w:themeColor="text2" w:themeShade="BF"/>
          <w:sz w:val="16"/>
          <w:szCs w:val="16"/>
        </w:rPr>
      </w:pPr>
    </w:p>
    <w:p w14:paraId="6515F5C9" w14:textId="77777777" w:rsidR="006A4B52" w:rsidRPr="00BA2E83" w:rsidRDefault="006A4B52" w:rsidP="006A4B52">
      <w:pPr>
        <w:pStyle w:val="Footer"/>
        <w:rPr>
          <w:rFonts w:ascii="Lato" w:hAnsi="Lato"/>
          <w:iCs/>
          <w:color w:val="323E4F" w:themeColor="text2" w:themeShade="BF"/>
          <w:sz w:val="16"/>
          <w:szCs w:val="16"/>
        </w:rPr>
      </w:pPr>
      <w:r w:rsidRPr="00BA2E83">
        <w:rPr>
          <w:rFonts w:ascii="Lato" w:hAnsi="Lato"/>
          <w:iCs/>
          <w:color w:val="323E4F" w:themeColor="text2" w:themeShade="BF"/>
          <w:sz w:val="16"/>
          <w:szCs w:val="16"/>
        </w:rPr>
        <w:t>Evolution is licensed and regulated by the Malta Gaming Authority under license MGA/B2B/187/2010. Evolution is also licensed and regulated in many other jurisdictions such as the United Kingdom, Belgium, Canada, Romania, South Africa, and others.</w:t>
      </w:r>
    </w:p>
    <w:p w14:paraId="16830B05" w14:textId="77777777" w:rsidR="006A4B52" w:rsidRDefault="006A4B52" w:rsidP="006A4B52">
      <w:pPr>
        <w:pStyle w:val="Footer"/>
        <w:rPr>
          <w:rFonts w:ascii="Lato" w:hAnsi="Lato"/>
          <w:i/>
          <w:color w:val="323E4F" w:themeColor="text2" w:themeShade="BF"/>
          <w:sz w:val="16"/>
          <w:szCs w:val="16"/>
        </w:rPr>
      </w:pPr>
    </w:p>
    <w:p w14:paraId="55588D2C" w14:textId="54F5209C" w:rsidR="006A4B52" w:rsidRPr="00874361" w:rsidRDefault="006A4B52" w:rsidP="00874361">
      <w:pPr>
        <w:pStyle w:val="Footer"/>
        <w:rPr>
          <w:rFonts w:ascii="Lato" w:hAnsi="Lato"/>
          <w:i/>
          <w:color w:val="323E4F" w:themeColor="text2" w:themeShade="BF"/>
          <w:sz w:val="16"/>
          <w:szCs w:val="16"/>
        </w:rPr>
      </w:pPr>
      <w:r>
        <w:rPr>
          <w:rFonts w:ascii="Lato" w:hAnsi="Lato" w:cs="Lato"/>
          <w:noProof/>
          <w:color w:val="172B4D"/>
          <w:sz w:val="16"/>
          <w:szCs w:val="16"/>
          <w:lang w:val="en-US"/>
        </w:rPr>
        <w:drawing>
          <wp:inline distT="0" distB="0" distL="0" distR="0" wp14:anchorId="1142DF93" wp14:editId="4D87BB54">
            <wp:extent cx="152400" cy="152400"/>
            <wp:effectExtent l="0" t="0" r="4445" b="444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600" cy="101600"/>
                    </a:xfrm>
                    <a:prstGeom prst="rect">
                      <a:avLst/>
                    </a:prstGeom>
                  </pic:spPr>
                </pic:pic>
              </a:graphicData>
            </a:graphic>
          </wp:inline>
        </w:drawing>
      </w:r>
    </w:p>
    <w:sectPr w:rsidR="006A4B52" w:rsidRPr="0087436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9695" w14:textId="77777777" w:rsidR="00F87339" w:rsidRDefault="00F87339" w:rsidP="006A4B52">
      <w:r>
        <w:separator/>
      </w:r>
    </w:p>
  </w:endnote>
  <w:endnote w:type="continuationSeparator" w:id="0">
    <w:p w14:paraId="61DB179B" w14:textId="77777777" w:rsidR="00F87339" w:rsidRDefault="00F87339" w:rsidP="006A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notTrueType/>
    <w:pitch w:val="default"/>
  </w:font>
  <w:font w:name="Lato Heavy">
    <w:altName w:val="Calibri"/>
    <w:panose1 w:val="020B0604020202020204"/>
    <w:charset w:val="00"/>
    <w:family w:val="swiss"/>
    <w:pitch w:val="variable"/>
    <w:sig w:usb0="E10002FF" w:usb1="5000ECFF" w:usb2="00000029"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E459" w14:textId="77777777" w:rsidR="00F87339" w:rsidRDefault="00F87339" w:rsidP="006A4B52">
      <w:r>
        <w:separator/>
      </w:r>
    </w:p>
  </w:footnote>
  <w:footnote w:type="continuationSeparator" w:id="0">
    <w:p w14:paraId="6E3AEE35" w14:textId="77777777" w:rsidR="00F87339" w:rsidRDefault="00F87339" w:rsidP="006A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5BFD" w14:textId="2E1980C3" w:rsidR="006A4B52" w:rsidRDefault="006A4B52" w:rsidP="006A4B52">
    <w:pPr>
      <w:pStyle w:val="Header"/>
      <w:jc w:val="right"/>
    </w:pPr>
    <w:r w:rsidRPr="004604DF">
      <w:rPr>
        <w:noProof/>
        <w:lang w:val="en-US"/>
      </w:rPr>
      <w:drawing>
        <wp:anchor distT="0" distB="0" distL="114300" distR="114300" simplePos="0" relativeHeight="251659264" behindDoc="0" locked="0" layoutInCell="1" allowOverlap="1" wp14:anchorId="236D72B0" wp14:editId="2C770F33">
          <wp:simplePos x="0" y="0"/>
          <wp:positionH relativeFrom="margin">
            <wp:posOffset>4572000</wp:posOffset>
          </wp:positionH>
          <wp:positionV relativeFrom="margin">
            <wp:posOffset>-604520</wp:posOffset>
          </wp:positionV>
          <wp:extent cx="1715770" cy="324485"/>
          <wp:effectExtent l="0" t="0" r="0" b="5715"/>
          <wp:wrapSquare wrapText="bothSides"/>
          <wp:docPr id="48" name="Picture 4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15770" cy="3244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83"/>
    <w:rsid w:val="0009207A"/>
    <w:rsid w:val="000B5ED8"/>
    <w:rsid w:val="001844E4"/>
    <w:rsid w:val="002265D5"/>
    <w:rsid w:val="002308C3"/>
    <w:rsid w:val="0024221C"/>
    <w:rsid w:val="003A51BD"/>
    <w:rsid w:val="003E6938"/>
    <w:rsid w:val="004E630F"/>
    <w:rsid w:val="0067193D"/>
    <w:rsid w:val="006A4B52"/>
    <w:rsid w:val="007E641D"/>
    <w:rsid w:val="007F08B7"/>
    <w:rsid w:val="00803583"/>
    <w:rsid w:val="00874361"/>
    <w:rsid w:val="00892EAF"/>
    <w:rsid w:val="00A85FC8"/>
    <w:rsid w:val="00AF71B6"/>
    <w:rsid w:val="00B17FC1"/>
    <w:rsid w:val="00B829DC"/>
    <w:rsid w:val="00B91FBF"/>
    <w:rsid w:val="00B963C0"/>
    <w:rsid w:val="00C94615"/>
    <w:rsid w:val="00CB5DB4"/>
    <w:rsid w:val="00D4792C"/>
    <w:rsid w:val="00DB44C2"/>
    <w:rsid w:val="00E0267B"/>
    <w:rsid w:val="00EA3239"/>
    <w:rsid w:val="00F07551"/>
    <w:rsid w:val="00F22765"/>
    <w:rsid w:val="00F30F97"/>
    <w:rsid w:val="00F87339"/>
    <w:rsid w:val="00FB7C6C"/>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4:docId w14:val="36AFBFCA"/>
  <w15:chartTrackingRefBased/>
  <w15:docId w15:val="{1117DA8C-A443-5D4A-AA6F-142D4020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52"/>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B52"/>
    <w:pPr>
      <w:tabs>
        <w:tab w:val="center" w:pos="4513"/>
        <w:tab w:val="right" w:pos="9026"/>
      </w:tabs>
    </w:pPr>
  </w:style>
  <w:style w:type="character" w:customStyle="1" w:styleId="HeaderChar">
    <w:name w:val="Header Char"/>
    <w:basedOn w:val="DefaultParagraphFont"/>
    <w:link w:val="Header"/>
    <w:uiPriority w:val="99"/>
    <w:rsid w:val="006A4B52"/>
    <w:rPr>
      <w:lang w:val="en-US"/>
    </w:rPr>
  </w:style>
  <w:style w:type="paragraph" w:styleId="Footer">
    <w:name w:val="footer"/>
    <w:basedOn w:val="Normal"/>
    <w:link w:val="FooterChar"/>
    <w:uiPriority w:val="99"/>
    <w:unhideWhenUsed/>
    <w:rsid w:val="006A4B52"/>
    <w:pPr>
      <w:tabs>
        <w:tab w:val="center" w:pos="4513"/>
        <w:tab w:val="right" w:pos="9026"/>
      </w:tabs>
    </w:pPr>
  </w:style>
  <w:style w:type="character" w:customStyle="1" w:styleId="FooterChar">
    <w:name w:val="Footer Char"/>
    <w:basedOn w:val="DefaultParagraphFont"/>
    <w:link w:val="Footer"/>
    <w:uiPriority w:val="99"/>
    <w:rsid w:val="006A4B52"/>
    <w:rPr>
      <w:lang w:val="en-US"/>
    </w:rPr>
  </w:style>
  <w:style w:type="paragraph" w:styleId="NoSpacing">
    <w:name w:val="No Spacing"/>
    <w:uiPriority w:val="1"/>
    <w:qFormat/>
    <w:rsid w:val="003E6938"/>
    <w:rPr>
      <w:rFonts w:ascii="Times New Roman" w:eastAsia="Times New Roman" w:hAnsi="Times New Roman" w:cs="Times New Roman"/>
      <w:lang w:val="en-GB" w:eastAsia="en-GB"/>
    </w:rPr>
  </w:style>
  <w:style w:type="paragraph" w:styleId="Revision">
    <w:name w:val="Revision"/>
    <w:hidden/>
    <w:uiPriority w:val="99"/>
    <w:semiHidden/>
    <w:rsid w:val="00AF71B6"/>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3A51BD"/>
    <w:rPr>
      <w:sz w:val="16"/>
      <w:szCs w:val="16"/>
    </w:rPr>
  </w:style>
  <w:style w:type="paragraph" w:styleId="CommentText">
    <w:name w:val="annotation text"/>
    <w:basedOn w:val="Normal"/>
    <w:link w:val="CommentTextChar"/>
    <w:uiPriority w:val="99"/>
    <w:semiHidden/>
    <w:unhideWhenUsed/>
    <w:rsid w:val="003A51BD"/>
    <w:rPr>
      <w:sz w:val="20"/>
      <w:szCs w:val="20"/>
    </w:rPr>
  </w:style>
  <w:style w:type="character" w:customStyle="1" w:styleId="CommentTextChar">
    <w:name w:val="Comment Text Char"/>
    <w:basedOn w:val="DefaultParagraphFont"/>
    <w:link w:val="CommentText"/>
    <w:uiPriority w:val="99"/>
    <w:semiHidden/>
    <w:rsid w:val="003A51B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A51BD"/>
    <w:rPr>
      <w:b/>
      <w:bCs/>
    </w:rPr>
  </w:style>
  <w:style w:type="character" w:customStyle="1" w:styleId="CommentSubjectChar">
    <w:name w:val="Comment Subject Char"/>
    <w:basedOn w:val="CommentTextChar"/>
    <w:link w:val="CommentSubject"/>
    <w:uiPriority w:val="99"/>
    <w:semiHidden/>
    <w:rsid w:val="003A51BD"/>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15713">
      <w:bodyDiv w:val="1"/>
      <w:marLeft w:val="0"/>
      <w:marRight w:val="0"/>
      <w:marTop w:val="0"/>
      <w:marBottom w:val="0"/>
      <w:divBdr>
        <w:top w:val="none" w:sz="0" w:space="0" w:color="auto"/>
        <w:left w:val="none" w:sz="0" w:space="0" w:color="auto"/>
        <w:bottom w:val="none" w:sz="0" w:space="0" w:color="auto"/>
        <w:right w:val="none" w:sz="0" w:space="0" w:color="auto"/>
      </w:divBdr>
    </w:div>
    <w:div w:id="1133405190">
      <w:bodyDiv w:val="1"/>
      <w:marLeft w:val="0"/>
      <w:marRight w:val="0"/>
      <w:marTop w:val="0"/>
      <w:marBottom w:val="0"/>
      <w:divBdr>
        <w:top w:val="none" w:sz="0" w:space="0" w:color="auto"/>
        <w:left w:val="none" w:sz="0" w:space="0" w:color="auto"/>
        <w:bottom w:val="none" w:sz="0" w:space="0" w:color="auto"/>
        <w:right w:val="none" w:sz="0" w:space="0" w:color="auto"/>
      </w:divBdr>
    </w:div>
    <w:div w:id="1310478281">
      <w:bodyDiv w:val="1"/>
      <w:marLeft w:val="0"/>
      <w:marRight w:val="0"/>
      <w:marTop w:val="0"/>
      <w:marBottom w:val="0"/>
      <w:divBdr>
        <w:top w:val="none" w:sz="0" w:space="0" w:color="auto"/>
        <w:left w:val="none" w:sz="0" w:space="0" w:color="auto"/>
        <w:bottom w:val="none" w:sz="0" w:space="0" w:color="auto"/>
        <w:right w:val="none" w:sz="0" w:space="0" w:color="auto"/>
      </w:divBdr>
    </w:div>
    <w:div w:id="154124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voluti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Ann Cooper Bagnall</dc:creator>
  <cp:keywords/>
  <dc:description/>
  <cp:lastModifiedBy>Cassandra Ann Cooper Bagnall</cp:lastModifiedBy>
  <cp:revision>10</cp:revision>
  <dcterms:created xsi:type="dcterms:W3CDTF">2022-06-22T13:17:00Z</dcterms:created>
  <dcterms:modified xsi:type="dcterms:W3CDTF">2022-07-05T10:08:00Z</dcterms:modified>
</cp:coreProperties>
</file>