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1690ED11" w:rsidR="00472C7D" w:rsidRDefault="008F6D2E"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XX/XX/2022</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4034B677" w14:textId="240B0EA8" w:rsidR="005F08A0" w:rsidRDefault="005F08A0" w:rsidP="00993597">
      <w:pPr>
        <w:pStyle w:val="NoSpacing"/>
        <w:spacing w:line="276" w:lineRule="auto"/>
        <w:rPr>
          <w:rFonts w:ascii="Helvetica" w:hAnsi="Helvetica"/>
          <w:sz w:val="22"/>
          <w:szCs w:val="22"/>
        </w:rPr>
      </w:pPr>
    </w:p>
    <w:p w14:paraId="2FCEFE20" w14:textId="404ED13E" w:rsidR="005F08A0" w:rsidRDefault="005F08A0" w:rsidP="005F08A0">
      <w:pPr>
        <w:jc w:val="center"/>
        <w:rPr>
          <w:rFonts w:ascii="Helvetica" w:hAnsi="Helvetica" w:cs="Arial"/>
          <w:b/>
          <w:bCs/>
          <w:sz w:val="40"/>
          <w:szCs w:val="40"/>
          <w:lang w:val="en-US" w:eastAsia="en-US"/>
        </w:rPr>
      </w:pPr>
      <w:r w:rsidRPr="0072051E">
        <w:rPr>
          <w:rFonts w:ascii="Helvetica" w:hAnsi="Helvetica" w:cs="Arial"/>
          <w:b/>
          <w:bCs/>
          <w:sz w:val="40"/>
          <w:szCs w:val="40"/>
          <w:lang w:val="en-US" w:eastAsia="en-US"/>
        </w:rPr>
        <w:t xml:space="preserve">Busy bee players can chase sweet prizes in NetEnt’s newest slot: </w:t>
      </w:r>
      <w:proofErr w:type="gramStart"/>
      <w:r w:rsidRPr="0072051E">
        <w:rPr>
          <w:rFonts w:ascii="Helvetica" w:hAnsi="Helvetica" w:cs="Arial"/>
          <w:b/>
          <w:bCs/>
          <w:sz w:val="40"/>
          <w:szCs w:val="40"/>
          <w:lang w:val="en-US" w:eastAsia="en-US"/>
        </w:rPr>
        <w:t>Bee Hive</w:t>
      </w:r>
      <w:proofErr w:type="gramEnd"/>
      <w:r w:rsidRPr="0072051E">
        <w:rPr>
          <w:rFonts w:ascii="Helvetica" w:hAnsi="Helvetica" w:cs="Arial"/>
          <w:b/>
          <w:bCs/>
          <w:sz w:val="40"/>
          <w:szCs w:val="40"/>
          <w:lang w:val="en-US" w:eastAsia="en-US"/>
        </w:rPr>
        <w:t xml:space="preserve"> Bonanza™ </w:t>
      </w:r>
    </w:p>
    <w:p w14:paraId="2ABE1E2D" w14:textId="77777777" w:rsidR="005F08A0" w:rsidRPr="0072051E" w:rsidRDefault="005F08A0" w:rsidP="005F08A0">
      <w:pPr>
        <w:jc w:val="center"/>
        <w:rPr>
          <w:rFonts w:ascii="Helvetica" w:hAnsi="Helvetica" w:cs="Arial"/>
          <w:b/>
          <w:bCs/>
          <w:sz w:val="40"/>
          <w:szCs w:val="40"/>
          <w:lang w:val="en-US" w:eastAsia="en-US"/>
        </w:rPr>
      </w:pPr>
    </w:p>
    <w:p w14:paraId="32F7E2C6" w14:textId="2F5054FA" w:rsidR="005F08A0" w:rsidRPr="0072051E" w:rsidRDefault="005F08A0" w:rsidP="0072051E">
      <w:pPr>
        <w:spacing w:after="240"/>
        <w:jc w:val="both"/>
        <w:rPr>
          <w:rFonts w:ascii="Helvetica" w:hAnsi="Helvetica"/>
          <w:sz w:val="22"/>
          <w:szCs w:val="22"/>
        </w:rPr>
      </w:pPr>
      <w:r w:rsidRPr="0072051E">
        <w:rPr>
          <w:rFonts w:ascii="Helvetica" w:hAnsi="Helvetica"/>
          <w:sz w:val="22"/>
          <w:szCs w:val="22"/>
        </w:rPr>
        <w:t>NetEnt has launched a new</w:t>
      </w:r>
      <w:r>
        <w:rPr>
          <w:rFonts w:ascii="Helvetica" w:hAnsi="Helvetica"/>
          <w:sz w:val="22"/>
          <w:szCs w:val="22"/>
        </w:rPr>
        <w:t xml:space="preserve"> </w:t>
      </w:r>
      <w:r w:rsidRPr="0072051E">
        <w:rPr>
          <w:rFonts w:ascii="Helvetica" w:hAnsi="Helvetica"/>
          <w:sz w:val="22"/>
          <w:szCs w:val="22"/>
        </w:rPr>
        <w:t xml:space="preserve">slot game with potential prizes sweet as honey: </w:t>
      </w:r>
      <w:proofErr w:type="gramStart"/>
      <w:r w:rsidRPr="0072051E">
        <w:rPr>
          <w:rFonts w:ascii="Helvetica" w:hAnsi="Helvetica"/>
          <w:sz w:val="22"/>
          <w:szCs w:val="22"/>
        </w:rPr>
        <w:t>Bee Hive</w:t>
      </w:r>
      <w:proofErr w:type="gramEnd"/>
      <w:r w:rsidRPr="0072051E">
        <w:rPr>
          <w:rFonts w:ascii="Helvetica" w:hAnsi="Helvetica"/>
          <w:sz w:val="22"/>
          <w:szCs w:val="22"/>
        </w:rPr>
        <w:t xml:space="preserve"> Bonanza™. Set in a medieval, bumblebee-themed environment, the diligent bees of this online slot game will win over players’ hearts at the first glimpse. </w:t>
      </w:r>
    </w:p>
    <w:p w14:paraId="6AC394E7" w14:textId="77777777" w:rsidR="005F08A0" w:rsidRPr="0072051E" w:rsidRDefault="005F08A0" w:rsidP="0072051E">
      <w:pPr>
        <w:spacing w:after="240"/>
        <w:jc w:val="both"/>
        <w:rPr>
          <w:rFonts w:ascii="Helvetica" w:hAnsi="Helvetica"/>
          <w:sz w:val="22"/>
          <w:szCs w:val="22"/>
        </w:rPr>
      </w:pPr>
      <w:r w:rsidRPr="0072051E">
        <w:rPr>
          <w:rFonts w:ascii="Helvetica" w:hAnsi="Helvetica"/>
          <w:sz w:val="22"/>
          <w:szCs w:val="22"/>
        </w:rPr>
        <w:t xml:space="preserve">Busy bees fly across the five-row, five-reel slot to make sweet nectar while protecting their queen in a quaint countryside landscape of rolling green hills and </w:t>
      </w:r>
      <w:proofErr w:type="spellStart"/>
      <w:r w:rsidRPr="0072051E">
        <w:rPr>
          <w:rFonts w:ascii="Helvetica" w:hAnsi="Helvetica"/>
          <w:sz w:val="22"/>
          <w:szCs w:val="22"/>
        </w:rPr>
        <w:t>colorful</w:t>
      </w:r>
      <w:proofErr w:type="spellEnd"/>
      <w:r w:rsidRPr="0072051E">
        <w:rPr>
          <w:rFonts w:ascii="Helvetica" w:hAnsi="Helvetica"/>
          <w:sz w:val="22"/>
          <w:szCs w:val="22"/>
        </w:rPr>
        <w:t xml:space="preserve"> blooming flowers. When the </w:t>
      </w:r>
      <w:proofErr w:type="gramStart"/>
      <w:r w:rsidRPr="0072051E">
        <w:rPr>
          <w:rFonts w:ascii="Helvetica" w:hAnsi="Helvetica"/>
          <w:sz w:val="22"/>
          <w:szCs w:val="22"/>
        </w:rPr>
        <w:t>Bee Hive</w:t>
      </w:r>
      <w:proofErr w:type="gramEnd"/>
      <w:r w:rsidRPr="0072051E">
        <w:rPr>
          <w:rFonts w:ascii="Helvetica" w:hAnsi="Helvetica"/>
          <w:sz w:val="22"/>
          <w:szCs w:val="22"/>
        </w:rPr>
        <w:t xml:space="preserve"> symbols appear alongside Bee symbols, they will react and award instant cash prizes for the player. Beyond the original </w:t>
      </w:r>
      <w:proofErr w:type="gramStart"/>
      <w:r w:rsidRPr="0072051E">
        <w:rPr>
          <w:rFonts w:ascii="Helvetica" w:hAnsi="Helvetica"/>
          <w:sz w:val="22"/>
          <w:szCs w:val="22"/>
        </w:rPr>
        <w:t>Bee Hive</w:t>
      </w:r>
      <w:proofErr w:type="gramEnd"/>
      <w:r w:rsidRPr="0072051E">
        <w:rPr>
          <w:rFonts w:ascii="Helvetica" w:hAnsi="Helvetica"/>
          <w:sz w:val="22"/>
          <w:szCs w:val="22"/>
        </w:rPr>
        <w:t xml:space="preserve"> symbol, the Multiplier and Adder variations further boost potential winnings.</w:t>
      </w:r>
    </w:p>
    <w:p w14:paraId="6C344CFD" w14:textId="1C6DFD8E" w:rsidR="005F08A0" w:rsidRPr="0072051E" w:rsidRDefault="005F08A0" w:rsidP="0072051E">
      <w:pPr>
        <w:spacing w:after="240"/>
        <w:jc w:val="both"/>
        <w:rPr>
          <w:rFonts w:ascii="Helvetica" w:hAnsi="Helvetica"/>
          <w:sz w:val="22"/>
          <w:szCs w:val="22"/>
        </w:rPr>
      </w:pPr>
      <w:r w:rsidRPr="0072051E">
        <w:rPr>
          <w:rFonts w:ascii="Helvetica" w:hAnsi="Helvetica"/>
          <w:sz w:val="22"/>
          <w:szCs w:val="22"/>
        </w:rPr>
        <w:t>Six or more of the same symbol landing anywhere on the reels trigger a scatter win. Upon winning, all symbols disappear, activating an Avalanche™ of additional symbols, which may lead to multiple wins on one single spin. Honey Pot scatter</w:t>
      </w:r>
      <w:r w:rsidR="001443AA">
        <w:rPr>
          <w:rFonts w:ascii="Helvetica" w:hAnsi="Helvetica"/>
          <w:sz w:val="22"/>
          <w:szCs w:val="22"/>
        </w:rPr>
        <w:t xml:space="preserve"> symbols</w:t>
      </w:r>
      <w:r w:rsidRPr="0072051E">
        <w:rPr>
          <w:rFonts w:ascii="Helvetica" w:hAnsi="Helvetica"/>
          <w:sz w:val="22"/>
          <w:szCs w:val="22"/>
        </w:rPr>
        <w:t xml:space="preserve"> take the bees into Free Spins when three or more appear on the reels. </w:t>
      </w:r>
      <w:r w:rsidR="00BD6090">
        <w:rPr>
          <w:rFonts w:ascii="Helvetica" w:hAnsi="Helvetica"/>
          <w:sz w:val="22"/>
          <w:szCs w:val="22"/>
        </w:rPr>
        <w:t>B</w:t>
      </w:r>
      <w:r w:rsidRPr="0072051E">
        <w:rPr>
          <w:rFonts w:ascii="Helvetica" w:hAnsi="Helvetica"/>
          <w:sz w:val="22"/>
          <w:szCs w:val="22"/>
        </w:rPr>
        <w:t xml:space="preserve">usy bee players who cannot wait for Free Spins—the Buy Feature flies them to the Bonus Round for a guaranteed 10, 15, or 20 Free Spins. </w:t>
      </w:r>
    </w:p>
    <w:p w14:paraId="2D7A7568" w14:textId="1AF74DF9" w:rsidR="005F08A0" w:rsidRPr="0072051E" w:rsidRDefault="005F08A0" w:rsidP="0072051E">
      <w:pPr>
        <w:spacing w:after="240"/>
        <w:jc w:val="both"/>
        <w:rPr>
          <w:rFonts w:ascii="Helvetica" w:hAnsi="Helvetica"/>
          <w:sz w:val="22"/>
          <w:szCs w:val="22"/>
        </w:rPr>
      </w:pPr>
      <w:r w:rsidRPr="0072051E">
        <w:rPr>
          <w:rFonts w:ascii="Helvetica" w:hAnsi="Helvetica"/>
          <w:sz w:val="22"/>
          <w:szCs w:val="22"/>
        </w:rPr>
        <w:t>James Jones, Head of Business Development at Evolution said: “</w:t>
      </w:r>
      <w:proofErr w:type="gramStart"/>
      <w:r w:rsidRPr="0072051E">
        <w:rPr>
          <w:rFonts w:ascii="Helvetica" w:hAnsi="Helvetica"/>
          <w:sz w:val="22"/>
          <w:szCs w:val="22"/>
        </w:rPr>
        <w:t>Bee Hive</w:t>
      </w:r>
      <w:proofErr w:type="gramEnd"/>
      <w:r w:rsidRPr="0072051E">
        <w:rPr>
          <w:rFonts w:ascii="Helvetica" w:hAnsi="Helvetica"/>
          <w:sz w:val="22"/>
          <w:szCs w:val="22"/>
        </w:rPr>
        <w:t xml:space="preserve"> Bonanza™ player</w:t>
      </w:r>
      <w:r w:rsidR="001443AA">
        <w:rPr>
          <w:rFonts w:ascii="Helvetica" w:hAnsi="Helvetica"/>
          <w:sz w:val="22"/>
          <w:szCs w:val="22"/>
        </w:rPr>
        <w:t>s</w:t>
      </w:r>
      <w:r w:rsidRPr="0072051E">
        <w:rPr>
          <w:rFonts w:ascii="Helvetica" w:hAnsi="Helvetica"/>
          <w:sz w:val="22"/>
          <w:szCs w:val="22"/>
        </w:rPr>
        <w:t xml:space="preserve"> will love the oh-so-sweet reactions between the different types of Hive and Bee symbols. The team has created a medieval, greenery-surrounded world where Bee Knights humbly serve the Royal Bee while ensuring that the pots are always full of honey. </w:t>
      </w:r>
      <w:proofErr w:type="gramStart"/>
      <w:r w:rsidRPr="0072051E">
        <w:rPr>
          <w:rFonts w:ascii="Helvetica" w:hAnsi="Helvetica"/>
          <w:sz w:val="22"/>
          <w:szCs w:val="22"/>
        </w:rPr>
        <w:t>Bee Hive</w:t>
      </w:r>
      <w:proofErr w:type="gramEnd"/>
      <w:r w:rsidRPr="0072051E">
        <w:rPr>
          <w:rFonts w:ascii="Helvetica" w:hAnsi="Helvetica"/>
          <w:sz w:val="22"/>
          <w:szCs w:val="22"/>
        </w:rPr>
        <w:t xml:space="preserve"> Bonanza™ is a</w:t>
      </w:r>
      <w:r w:rsidR="001443AA">
        <w:rPr>
          <w:rFonts w:ascii="Helvetica" w:hAnsi="Helvetica"/>
          <w:sz w:val="22"/>
          <w:szCs w:val="22"/>
        </w:rPr>
        <w:t>n</w:t>
      </w:r>
      <w:r w:rsidRPr="0072051E">
        <w:rPr>
          <w:rFonts w:ascii="Helvetica" w:hAnsi="Helvetica"/>
          <w:sz w:val="22"/>
          <w:szCs w:val="22"/>
        </w:rPr>
        <w:t xml:space="preserve"> </w:t>
      </w:r>
      <w:r w:rsidR="001443AA">
        <w:rPr>
          <w:rFonts w:ascii="Helvetica" w:hAnsi="Helvetica"/>
          <w:sz w:val="22"/>
          <w:szCs w:val="22"/>
        </w:rPr>
        <w:t>entertaining</w:t>
      </w:r>
      <w:r w:rsidRPr="0072051E">
        <w:rPr>
          <w:rFonts w:ascii="Helvetica" w:hAnsi="Helvetica"/>
          <w:sz w:val="22"/>
          <w:szCs w:val="22"/>
        </w:rPr>
        <w:t xml:space="preserve"> example of fable meeting fun in a great gaming experience.”</w:t>
      </w:r>
    </w:p>
    <w:p w14:paraId="75EEEE04" w14:textId="6167CDA2" w:rsidR="006E380E" w:rsidRPr="00577ED4" w:rsidRDefault="005F08A0" w:rsidP="0072051E">
      <w:pPr>
        <w:jc w:val="both"/>
        <w:rPr>
          <w:rFonts w:ascii="Arial" w:eastAsiaTheme="minorHAnsi" w:hAnsi="Arial" w:cs="Arial"/>
          <w:b/>
          <w:bCs/>
          <w:color w:val="000000"/>
          <w:sz w:val="21"/>
          <w:szCs w:val="21"/>
          <w:lang w:eastAsia="en-US"/>
        </w:rPr>
      </w:pPr>
      <w:r>
        <w:rPr>
          <w:rFonts w:ascii="Helvetica" w:hAnsi="Helvetica"/>
          <w:sz w:val="22"/>
          <w:szCs w:val="22"/>
        </w:rPr>
        <w:softHyphen/>
      </w:r>
      <w:r>
        <w:rPr>
          <w:rFonts w:ascii="Helvetica" w:hAnsi="Helvetica"/>
          <w:sz w:val="22"/>
          <w:szCs w:val="22"/>
        </w:rPr>
        <w:softHyphen/>
      </w:r>
      <w:r w:rsidR="00472C7D"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Pennsylvania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8E4C" w14:textId="77777777" w:rsidR="00302747" w:rsidRDefault="00302747">
      <w:r>
        <w:separator/>
      </w:r>
    </w:p>
  </w:endnote>
  <w:endnote w:type="continuationSeparator" w:id="0">
    <w:p w14:paraId="309E8B00" w14:textId="77777777" w:rsidR="00302747" w:rsidRDefault="00302747">
      <w:r>
        <w:continuationSeparator/>
      </w:r>
    </w:p>
  </w:endnote>
  <w:endnote w:type="continuationNotice" w:id="1">
    <w:p w14:paraId="43F18FBF" w14:textId="77777777" w:rsidR="00302747" w:rsidRDefault="00302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4B39" w14:textId="77777777" w:rsidR="00302747" w:rsidRDefault="00302747">
      <w:r>
        <w:separator/>
      </w:r>
    </w:p>
  </w:footnote>
  <w:footnote w:type="continuationSeparator" w:id="0">
    <w:p w14:paraId="0326C001" w14:textId="77777777" w:rsidR="00302747" w:rsidRDefault="00302747">
      <w:r>
        <w:continuationSeparator/>
      </w:r>
    </w:p>
  </w:footnote>
  <w:footnote w:type="continuationNotice" w:id="1">
    <w:p w14:paraId="2B0CCC5C" w14:textId="77777777" w:rsidR="00302747" w:rsidRDefault="00302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2A6"/>
    <w:rsid w:val="00216B60"/>
    <w:rsid w:val="00220F6B"/>
    <w:rsid w:val="00237CB0"/>
    <w:rsid w:val="00243C3A"/>
    <w:rsid w:val="00246BB8"/>
    <w:rsid w:val="00255E40"/>
    <w:rsid w:val="00261F08"/>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2747"/>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1067F"/>
    <w:rsid w:val="00611204"/>
    <w:rsid w:val="0062508E"/>
    <w:rsid w:val="00631D0D"/>
    <w:rsid w:val="0063493F"/>
    <w:rsid w:val="006445E8"/>
    <w:rsid w:val="0065228A"/>
    <w:rsid w:val="00656E29"/>
    <w:rsid w:val="00675FB5"/>
    <w:rsid w:val="006812EB"/>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538A"/>
    <w:rsid w:val="00761FEC"/>
    <w:rsid w:val="0076276B"/>
    <w:rsid w:val="00764C0A"/>
    <w:rsid w:val="007666CE"/>
    <w:rsid w:val="0077125E"/>
    <w:rsid w:val="007760F8"/>
    <w:rsid w:val="00782EAD"/>
    <w:rsid w:val="00785E56"/>
    <w:rsid w:val="007940A3"/>
    <w:rsid w:val="00794EFB"/>
    <w:rsid w:val="00796D36"/>
    <w:rsid w:val="007A46D5"/>
    <w:rsid w:val="007C2117"/>
    <w:rsid w:val="007C4CDD"/>
    <w:rsid w:val="007D01A7"/>
    <w:rsid w:val="007D5755"/>
    <w:rsid w:val="007E45A7"/>
    <w:rsid w:val="007E55FC"/>
    <w:rsid w:val="007F38B4"/>
    <w:rsid w:val="007F5C33"/>
    <w:rsid w:val="008012F2"/>
    <w:rsid w:val="0081238B"/>
    <w:rsid w:val="00815292"/>
    <w:rsid w:val="0081599C"/>
    <w:rsid w:val="0082163A"/>
    <w:rsid w:val="0084564E"/>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93597"/>
    <w:rsid w:val="009A10DC"/>
    <w:rsid w:val="009A26A5"/>
    <w:rsid w:val="009B22EF"/>
    <w:rsid w:val="009B4384"/>
    <w:rsid w:val="009C1195"/>
    <w:rsid w:val="009C3E0A"/>
    <w:rsid w:val="009C6EF4"/>
    <w:rsid w:val="009D72C8"/>
    <w:rsid w:val="009E0FDF"/>
    <w:rsid w:val="00A07FE0"/>
    <w:rsid w:val="00A10194"/>
    <w:rsid w:val="00A14CAD"/>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95C73"/>
    <w:rsid w:val="00DB669C"/>
    <w:rsid w:val="00DC0239"/>
    <w:rsid w:val="00DC147E"/>
    <w:rsid w:val="00DC3D6B"/>
    <w:rsid w:val="00DC61F0"/>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2.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4.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Cassandra Ann Cooper Bagnall</cp:lastModifiedBy>
  <cp:revision>2</cp:revision>
  <dcterms:created xsi:type="dcterms:W3CDTF">2022-09-01T08:54:00Z</dcterms:created>
  <dcterms:modified xsi:type="dcterms:W3CDTF">2022-09-01T08:54:00Z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